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drawing>
          <wp:inline xmlns:a="http://schemas.openxmlformats.org/drawingml/2006/main" xmlns:pic="http://schemas.openxmlformats.org/drawingml/2006/picture">
            <wp:extent cx="2057400" cy="4867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ume-wordm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867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69" w:lineRule="auto"/>
      </w:pPr>
      <w:r>
        <w:rPr>
          <w:b/>
          <w:color w:val="283F66"/>
          <w:sz w:val="20"/>
        </w:rPr>
        <w:t>ADAM FIVESON  /  ART DIRECTOR • CREATIVE LEADERSHIP</w:t>
      </w:r>
    </w:p>
    <w:p>
      <w:pPr>
        <w:spacing w:after="240" w:line="269" w:lineRule="auto"/>
      </w:pPr>
      <w:r>
        <w:rPr>
          <w:b w:val="0"/>
          <w:color w:val="555555"/>
          <w:sz w:val="19"/>
        </w:rPr>
        <w:t>Port Saint Lucie, FL  •  adam@mr5son.com  •  772-209-4618</w:t>
      </w:r>
    </w:p>
    <w:p>
      <w:pPr>
        <w:spacing w:after="160" w:line="269" w:lineRule="auto"/>
      </w:pPr>
      <w:r>
        <w:rPr>
          <w:b w:val="0"/>
          <w:color w:val="181818"/>
          <w:sz w:val="22"/>
        </w:rPr>
        <w:t>Multidisciplinary art director, designer, and former studio owner with experience spanning brand identity, digital interfaces, publishing, packaging, and motion graphics. Combines hands-on craft with team leadership and commercial judgment: built a boutique to approximately $500,000 in annual sales, led creative teams, and developed identities for approximately 60 schools.</w:t>
      </w:r>
    </w:p>
    <w:p>
      <w:pPr>
        <w:keepNext/>
        <w:spacing w:after="160" w:line="269" w:lineRule="auto" w:before="240"/>
      </w:pPr>
      <w:r>
        <w:rPr>
          <w:b/>
          <w:color w:val="283F66"/>
          <w:sz w:val="20"/>
        </w:rPr>
        <w:t>EXPERIENCE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Art Director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School District of Palm Beach County  |  2014–present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Created and refreshed identities for approximately 60 schools, working directly with school leaders from concept through production. Designed mascots, logos, signage, apparel graphics, and coordinated brand assets.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Named and established the visual identity for TIME, leading cover design, editorial layouts, illustration, occasional photography, and digital publishing from its inaugural issue. Typical issues span approximately 40 pages.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Designed more than 100 employee and student portal tiles across successive platform versions, creating original icons and logos and reconstructing low-resolution artwork.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Authored district brand guidelines and delivered hundreds of projects for departments, events, and internal communications; prepared production files and coordinated with vendors.</w:t>
      </w:r>
    </w:p>
    <w:p>
      <w:pPr>
        <w:spacing w:after="100" w:line="269" w:lineRule="auto"/>
      </w:pPr>
      <w:r>
        <w:rPr>
          <w:b w:val="0"/>
          <w:color w:val="555555"/>
          <w:sz w:val="17"/>
        </w:rPr>
        <w:t>Official classification: Level 2 Specialist — IT Application Services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Graphic Design Department Head / Instructor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South Tech Academy  |  2009–2014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Built and taught the graphic design curriculum as the program’s sole instructor; developed course materials subsequently used by other instructors.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Led the district in Adobe ACE/ACA certification totals and pass rates, and delivered multiple training sessions for fellow district design teachers.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Owner / Art Director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5webdesign  |  2001–c. 2009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Grew a design boutique to approximately $500,000 in annual sales, supported by repeat clients, referrals, and near-five-star eLance ratings.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Managed two illustrators with low overhead; expanded logo engagements into corporate identity, websites, packaging, vehicle wraps, and collateral.</w:t>
      </w:r>
    </w:p>
    <w:p>
      <w:r>
        <w:br w:type="page"/>
      </w:r>
    </w:p>
    <w:p>
      <w:pPr>
        <w:spacing w:after="40" w:line="269" w:lineRule="auto"/>
      </w:pPr>
      <w:r>
        <w:rPr>
          <w:b/>
          <w:color w:val="181818"/>
          <w:sz w:val="34"/>
        </w:rPr>
        <w:t>Adam Fiveson</w:t>
      </w:r>
    </w:p>
    <w:p>
      <w:pPr>
        <w:spacing w:after="100" w:line="269" w:lineRule="auto"/>
      </w:pPr>
      <w:r>
        <w:rPr>
          <w:b/>
          <w:color w:val="283F66"/>
          <w:sz w:val="18"/>
        </w:rPr>
        <w:t>ART DIRECTION / CONTINUED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Art Director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Immersant / Bowne  |  2000–2001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Led four designers on website and branding projects for clients including Cranium, T. Rowe Price, and other financial services companies.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Creative Director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ToysRUs.com  |  2000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Directed a five-person team creating distinct e-commerce storefront channels for Barbie, X-Men, Gundam Wing, and other brands and franchises.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Contributed as part of the team developing the ToysRUs.com brand book.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Art Director / Design Contractor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Wells Fargo Home Mortgage and other clients  |  1994–1998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Personally adapted Norwest Mortgage signage and collateral to Wells Fargo Home Mortgage branding, applying supplied brand standards during the transition.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Additional assignments included art direction for Associated Entertainment and motion graphics for Video Quik Labs.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Art Director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IBM • Ergonomics and Usability  |  1992–1994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Designed OS/2 interface graphics and wallpapers, plus packaging for OS/2, Green Machine, and Developer’s Connection, collaborating with fellow designers.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Founder / Owner / Art Director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Enternet Entertainment Group  |  1992–1997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Managed approximately 20 people across publishing operations, combining art direction and hands-on design with sales, production, distribution, and client relationships.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Founded Xcitement, expanding to 15 independently owned regional editions supported by centralized design and printing; published the underground music magazine Pulp.</w:t>
      </w:r>
    </w:p>
    <w:p>
      <w:pPr>
        <w:keepNext/>
        <w:spacing w:after="40" w:line="269" w:lineRule="auto"/>
      </w:pPr>
      <w:r>
        <w:rPr>
          <w:b/>
          <w:color w:val="181818"/>
          <w:sz w:val="24"/>
        </w:rPr>
        <w:t>Art Director</w:t>
      </w:r>
    </w:p>
    <w:p>
      <w:pPr>
        <w:keepNext/>
        <w:spacing w:after="100" w:line="269" w:lineRule="auto"/>
      </w:pPr>
      <w:r>
        <w:rPr>
          <w:b w:val="0"/>
          <w:color w:val="555555"/>
          <w:sz w:val="19"/>
        </w:rPr>
        <w:t>College Bound / Ronkin Educational  |  1990–1992</w:t>
      </w:r>
    </w:p>
    <w:p>
      <w:pPr>
        <w:spacing w:after="100" w:line="269" w:lineRule="auto"/>
        <w:ind w:left="144" w:hanging="144"/>
      </w:pPr>
      <w:r>
        <w:rPr>
          <w:b w:val="0"/>
          <w:color w:val="181818"/>
          <w:sz w:val="20"/>
        </w:rPr>
        <w:t>• Sole artist for a national test-preparation company, producing newspaper and magazine advertising, presentations, and marketing collateral.</w:t>
      </w:r>
    </w:p>
    <w:p>
      <w:pPr>
        <w:keepNext/>
        <w:spacing w:after="160" w:line="269" w:lineRule="auto" w:before="240"/>
      </w:pPr>
      <w:r>
        <w:rPr>
          <w:b/>
          <w:color w:val="283F66"/>
          <w:sz w:val="20"/>
        </w:rPr>
        <w:t>EDUCATION</w:t>
      </w:r>
    </w:p>
    <w:p>
      <w:pPr>
        <w:spacing w:after="20" w:line="269" w:lineRule="auto"/>
      </w:pPr>
      <w:r>
        <w:rPr>
          <w:b/>
          <w:color w:val="181818"/>
          <w:sz w:val="22"/>
        </w:rPr>
        <w:t>Master of Fine Arts in Graphic Design</w:t>
      </w:r>
    </w:p>
    <w:p>
      <w:pPr>
        <w:spacing w:after="120" w:line="269" w:lineRule="auto"/>
      </w:pPr>
      <w:r>
        <w:rPr>
          <w:b w:val="0"/>
          <w:color w:val="181818"/>
          <w:sz w:val="20"/>
        </w:rPr>
        <w:t>Vermont College of Fine Arts  |  2018</w:t>
      </w:r>
    </w:p>
    <w:p>
      <w:pPr>
        <w:spacing w:after="20" w:line="269" w:lineRule="auto"/>
      </w:pPr>
      <w:r>
        <w:rPr>
          <w:b/>
          <w:color w:val="181818"/>
          <w:sz w:val="22"/>
        </w:rPr>
        <w:t>Bachelor of Science in Graphic Design</w:t>
      </w:r>
    </w:p>
    <w:p>
      <w:pPr>
        <w:spacing w:after="40" w:line="269" w:lineRule="auto"/>
      </w:pPr>
      <w:r>
        <w:rPr>
          <w:b w:val="0"/>
          <w:color w:val="181818"/>
          <w:sz w:val="20"/>
        </w:rPr>
        <w:t>The Art Institute of Fort Lauderdale  |  2016</w:t>
      </w:r>
    </w:p>
    <w:p>
      <w:pPr>
        <w:spacing w:after="120" w:line="269" w:lineRule="auto"/>
      </w:pPr>
      <w:r>
        <w:rPr>
          <w:b w:val="0"/>
          <w:color w:val="555555"/>
          <w:sz w:val="19"/>
        </w:rPr>
        <w:t>Best Digital Portfolio winner; Best Print Portfolio nominee</w:t>
      </w:r>
    </w:p>
    <w:p>
      <w:pPr>
        <w:spacing w:after="20" w:line="269" w:lineRule="auto"/>
      </w:pPr>
      <w:r>
        <w:rPr>
          <w:b/>
          <w:color w:val="181818"/>
          <w:sz w:val="22"/>
        </w:rPr>
        <w:t>Associate of Science in Advertising Design</w:t>
      </w:r>
    </w:p>
    <w:p>
      <w:pPr>
        <w:spacing w:after="120" w:line="269" w:lineRule="auto"/>
      </w:pPr>
      <w:r>
        <w:rPr>
          <w:b w:val="0"/>
          <w:color w:val="181818"/>
          <w:sz w:val="20"/>
        </w:rPr>
        <w:t>The Art Institute of Fort Lauderdale  |  1991</w:t>
      </w:r>
    </w:p>
    <w:p>
      <w:pPr>
        <w:keepNext/>
        <w:spacing w:after="160" w:line="269" w:lineRule="auto" w:before="240"/>
      </w:pPr>
      <w:r>
        <w:rPr>
          <w:b/>
          <w:color w:val="283F66"/>
          <w:sz w:val="20"/>
        </w:rPr>
        <w:t>CAPABILITIES</w:t>
      </w:r>
    </w:p>
    <w:p>
      <w:pPr>
        <w:spacing w:after="100" w:line="269" w:lineRule="auto"/>
      </w:pPr>
      <w:r>
        <w:rPr>
          <w:b w:val="0"/>
          <w:color w:val="181818"/>
          <w:sz w:val="19"/>
        </w:rPr>
        <w:t>Brand systems • Creative team leadership • Editorial design • Digital and interface design • Illustration • Packaging • Motion graphics • Print production • Client and vendor relationships</w:t>
      </w:r>
    </w:p>
    <w:sectPr w:rsidR="00FC693F" w:rsidRPr="0006063C" w:rsidSect="00034616">
      <w:pgSz w:w="12240" w:h="15840"/>
      <w:pgMar w:top="835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Adam Fiveson | Art Director • Creative Leadership</dc:title>
  <dc:subject/>
  <dc:creator>Adam Fiveson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